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</w:t>
            </w:r>
            <w:bookmarkStart w:id="0" w:name="_GoBack"/>
            <w:bookmarkEnd w:id="0"/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236652" w:rsidP="0023665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00F5D" w:rsidP="00FB735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მთავარი სპეციალისტი, </w:t>
            </w:r>
            <w:r w:rsidR="00236652" w:rsidRPr="002366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  <w:r w:rsidR="00FB735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975EA" w:rsidRDefault="009975EA" w:rsidP="009975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236652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 კატეგორია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017DA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5D" w:rsidRDefault="00900F5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შესაბამისი სტრუქტურული ერთეულებისა და საჯარო სამართლის იურიდიული პირების ჩართულობით,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კოორდინაციას უწევს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ჯანმრთელობის დაცვის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საზოგადოებრივი ჯანმრთელო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 დაცვის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პოლიტიკის, სტრატეგიის, სამოქმედო გეგმის შემუშავება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ს, მონიტორინგსა და შეფასებას;</w:t>
            </w:r>
          </w:p>
          <w:p w:rsidR="00900F5D" w:rsidRDefault="00900F5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სამინისტროს შესაბამისი სტრუქტურული ერთეულებისა და საჯარო სამართლის იურიდიული პი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რების მიერ ფსიქიკური ჯანმრთელობის დაცვის სფეროში სახელმწიფო პროგრამ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 შემუშავება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მართვის კორდიცინაცია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900F5D" w:rsidRDefault="00900F5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სტატისტიკური ინფორმაციის მოძიებისა და ანალიზის სამმართველოდან ჯანმრთელობის დაცვის, საზოგადოებრივი ჯანმრთელო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 დაცვის, სამედიცინო, წამლისა და ფარმაცევტულ სფეროში პოლიტიკის, სტრატეგიის, სამოქმედო გეგმისა და სახელმწიფო პროგრამების შესრულების შეფასების მიზნით, შესაბამისი ინფორმაციის გამოთხოვა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900F5D" w:rsidRDefault="00900F5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შესაბამისი სტრუქტურული ერთეულებიდან გამოთხოვილი ინფორმაციის ანალიზის საფუძველზე,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ამზადებს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მოსახლეობის  ჯანმრთელობის მდგომარეობის შესახებ ეროვნული მოხსენებ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 ჯანდაცვის ანგარიშების 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ისტემასა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და ჯანდაცვის სისტემის ეფექტიანობის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შეფასების დოკუმენტს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DC291D" w:rsidRDefault="00900F5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 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ამზადებს სამინის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ტროს მიერ დასადებ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საერ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თაშო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რი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 xml:space="preserve">სო ხელშეკრულებებს,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დადებულ საერთაშორისო ხელ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შეკ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რუ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 xml:space="preserve">ლებებში 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განსაზღვრავს 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ცვლილებე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ბისა და დამატებების შეტანის სა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ჭიროე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ს, ახდენს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საერთაშორისო ვალდებულების შესრულების ანგარიშის მომზადება</w:t>
            </w:r>
            <w:r w:rsidR="00DC291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</w:t>
            </w:r>
            <w:r w:rsidRPr="00900F5D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DC291D" w:rsidRPr="00DC291D" w:rsidRDefault="00DC291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კომპეტენციის ფარგლებში, შესაბამისი დაწესებულებებისა და სტრუქტურული ერთეულების ჩართულობით, 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ახდენს 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სამედიცინო სფეროში ინფრასტრუქტურული  განვითარების პოლიტიკის განსაზღვრა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პროექტების შესრულების კოორდინაცია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, შესრულების შესახებ ანგარიშების გამოთხოვა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, ანალიზ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მინისტრისა და მინისტრის შესაბამისი კურატორი მოადგილეებისათვის წარდგენა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</w:p>
          <w:p w:rsidR="00900F5D" w:rsidRPr="00DC291D" w:rsidRDefault="00DC291D" w:rsidP="00DC29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ახდენს </w:t>
            </w:r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 დაინტერესებული პირის მოთხოვნის საფუძველზე, სახელმწიფო პროგრამების ფარგლებში, სამედიცინო დაწესებულებების რეაბილიტაციასა და აღჭურვასთან დაკავშირებით საჭიროების განსაზღვრა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, მათ შორის, </w:t>
            </w:r>
            <w:proofErr w:type="spellStart"/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</w:rPr>
              <w:t>დამკვეთის</w:t>
            </w:r>
            <w:proofErr w:type="spellEnd"/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</w:rPr>
              <w:t>მიერ</w:t>
            </w:r>
            <w:proofErr w:type="spellEnd"/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</w:rPr>
              <w:t>წარმოდგენილი</w:t>
            </w:r>
            <w:proofErr w:type="spellEnd"/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="00900F5D" w:rsidRPr="00DC291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სპეციფიკაციის საფუძველზე, საჭიროებისას, სამინისტროს შესაბამისი ექსპერტების, პასუხისმგებელი პირების ან შესაბამისი კომისიის ჩართულობით, შესყიდვების რელევანტურობის განსაზღვრა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</w:t>
            </w:r>
          </w:p>
          <w:p w:rsidR="00900F5D" w:rsidRPr="00DC291D" w:rsidRDefault="00DC291D" w:rsidP="000A4D5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ასრულებს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სამმართველოს</w:t>
            </w: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უფროსის ცალკე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ულ დავალებებს/გადაწყვეტილებებს.</w:t>
            </w: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00F5D" w:rsidP="00900F5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00F5D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მაგისტრი ან მაგისტ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რთან გათანაბრებული</w:t>
            </w: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00F5D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900F5D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ეფექტური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კომუნიკაციის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უნარი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ცვლილებებისა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და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სიახლეების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 xml:space="preserve"> ინიციირების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უნარი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დამოუკიდებელი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მუშაობის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უნარი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გუნდური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მუშაობის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უნარი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კომპლექსური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აზროვნება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დროის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ეფექტიანი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მართვა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900F5D" w:rsidRPr="009E7D44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საქმის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დაგეგმვისა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და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ორგანიზების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უნარი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>;</w:t>
            </w:r>
          </w:p>
          <w:p w:rsidR="004064A5" w:rsidRPr="00900F5D" w:rsidRDefault="00900F5D" w:rsidP="00900F5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ინფორმაციის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შეგროვებისა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და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ანალიზის</w:t>
            </w:r>
            <w:r w:rsidRPr="009E7D44">
              <w:rPr>
                <w:rFonts w:eastAsia="Times New Roman" w:cs="Calibri"/>
                <w:color w:val="000000"/>
                <w:sz w:val="20"/>
                <w:szCs w:val="18"/>
                <w:lang w:val="ka-GE"/>
              </w:rPr>
              <w:t xml:space="preserve"> </w:t>
            </w:r>
            <w:r w:rsidRPr="009E7D44">
              <w:rPr>
                <w:rFonts w:eastAsia="Times New Roman" w:cs="Sylfaen"/>
                <w:color w:val="000000"/>
                <w:sz w:val="20"/>
                <w:szCs w:val="18"/>
                <w:lang w:val="ka-GE"/>
              </w:rPr>
              <w:t>უნარი</w:t>
            </w:r>
          </w:p>
        </w:tc>
      </w:tr>
    </w:tbl>
    <w:p w:rsidR="004A4DEF" w:rsidRDefault="009E7D44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C0F09"/>
    <w:multiLevelType w:val="hybridMultilevel"/>
    <w:tmpl w:val="1D8C0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9499C"/>
    <w:multiLevelType w:val="hybridMultilevel"/>
    <w:tmpl w:val="766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7"/>
    <w:rsid w:val="000A4D5C"/>
    <w:rsid w:val="00236652"/>
    <w:rsid w:val="004064A5"/>
    <w:rsid w:val="004413E7"/>
    <w:rsid w:val="004A3493"/>
    <w:rsid w:val="007B367E"/>
    <w:rsid w:val="00900F5D"/>
    <w:rsid w:val="009975EA"/>
    <w:rsid w:val="009E7D44"/>
    <w:rsid w:val="00A13B01"/>
    <w:rsid w:val="00B81A5F"/>
    <w:rsid w:val="00DC291D"/>
    <w:rsid w:val="00F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23BA"/>
  <w15:chartTrackingRefBased/>
  <w15:docId w15:val="{94F4623E-7478-4C7C-95F4-CF220D8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Ketevan Goginashvili</cp:lastModifiedBy>
  <cp:revision>4</cp:revision>
  <dcterms:created xsi:type="dcterms:W3CDTF">2020-07-22T08:07:00Z</dcterms:created>
  <dcterms:modified xsi:type="dcterms:W3CDTF">2020-07-22T09:45:00Z</dcterms:modified>
</cp:coreProperties>
</file>